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55B" w:rsidRDefault="0056255B" w:rsidP="0056255B">
      <w:pPr>
        <w:pStyle w:val="1"/>
      </w:pPr>
      <w:r>
        <w:t>(88-75-7)邻硝基苯酚的理化及危险特性表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56255B"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标</w:t>
            </w:r>
          </w:p>
          <w:p w:rsidR="0056255B" w:rsidRDefault="0056255B" w:rsidP="0090435F">
            <w:pPr>
              <w:spacing w:line="294"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中文名：邻硝基苯酚</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英文名：o-nitrophenol </w:t>
            </w:r>
          </w:p>
        </w:tc>
      </w:tr>
      <w:tr w:rsidR="0056255B" w:rsidTr="0090435F">
        <w:trPr>
          <w:cantSplit/>
          <w:jc w:val="center"/>
        </w:trPr>
        <w:tc>
          <w:tcPr>
            <w:tcW w:w="493" w:type="dxa"/>
            <w:vMerge/>
            <w:tcBorders>
              <w:left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分子式：C</w:t>
            </w:r>
            <w:r>
              <w:rPr>
                <w:rFonts w:ascii="宋体" w:hAnsi="宋体" w:hint="eastAsia"/>
                <w:vertAlign w:val="subscript"/>
              </w:rPr>
              <w:t>6</w:t>
            </w:r>
            <w:r>
              <w:rPr>
                <w:rFonts w:ascii="宋体" w:hAnsi="宋体" w:hint="eastAsia"/>
              </w:rPr>
              <w:t>H</w:t>
            </w:r>
            <w:r>
              <w:rPr>
                <w:rFonts w:ascii="宋体" w:hAnsi="宋体" w:hint="eastAsia"/>
                <w:vertAlign w:val="subscript"/>
              </w:rPr>
              <w:t>5</w:t>
            </w:r>
            <w:r>
              <w:rPr>
                <w:rFonts w:ascii="宋体" w:hAnsi="宋体" w:hint="eastAsia"/>
              </w:rPr>
              <w:t>NO</w:t>
            </w:r>
            <w:r>
              <w:rPr>
                <w:rFonts w:ascii="宋体" w:hAnsi="宋体" w:hint="eastAsia"/>
                <w:vertAlign w:val="subscript"/>
              </w:rPr>
              <w:t>3</w:t>
            </w:r>
          </w:p>
        </w:tc>
        <w:tc>
          <w:tcPr>
            <w:tcW w:w="2610"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分子量：139.11</w:t>
            </w:r>
          </w:p>
        </w:tc>
        <w:tc>
          <w:tcPr>
            <w:tcW w:w="2182"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UN编号：1663</w:t>
            </w:r>
          </w:p>
        </w:tc>
      </w:tr>
      <w:tr w:rsidR="0056255B" w:rsidTr="0090435F">
        <w:trPr>
          <w:cantSplit/>
          <w:jc w:val="center"/>
        </w:trPr>
        <w:tc>
          <w:tcPr>
            <w:tcW w:w="493" w:type="dxa"/>
            <w:vMerge/>
            <w:tcBorders>
              <w:left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危规号： 61712</w:t>
            </w:r>
          </w:p>
        </w:tc>
        <w:tc>
          <w:tcPr>
            <w:tcW w:w="2182"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CAS号：88-75-7</w:t>
            </w:r>
          </w:p>
        </w:tc>
      </w:tr>
      <w:tr w:rsidR="0056255B" w:rsidTr="0090435F">
        <w:trPr>
          <w:cantSplit/>
          <w:jc w:val="center"/>
        </w:trPr>
        <w:tc>
          <w:tcPr>
            <w:tcW w:w="493" w:type="dxa"/>
            <w:vMerge/>
            <w:tcBorders>
              <w:left w:val="single" w:sz="4" w:space="0" w:color="auto"/>
              <w:bottom w:val="nil"/>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包装标志：有毒品</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包装类别：Ⅲ类</w:t>
            </w:r>
          </w:p>
        </w:tc>
      </w:tr>
      <w:tr w:rsidR="0056255B"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理</w:t>
            </w:r>
          </w:p>
          <w:p w:rsidR="0056255B" w:rsidRDefault="0056255B" w:rsidP="0090435F">
            <w:pPr>
              <w:spacing w:line="294" w:lineRule="exact"/>
              <w:rPr>
                <w:rFonts w:ascii="宋体" w:hAnsi="宋体"/>
              </w:rPr>
            </w:pPr>
            <w:r>
              <w:rPr>
                <w:rFonts w:ascii="宋体" w:hAnsi="宋体" w:hint="eastAsia"/>
              </w:rPr>
              <w:t>化</w:t>
            </w:r>
          </w:p>
          <w:p w:rsidR="0056255B" w:rsidRDefault="0056255B" w:rsidP="0090435F">
            <w:pPr>
              <w:spacing w:line="294" w:lineRule="exact"/>
              <w:rPr>
                <w:rFonts w:ascii="宋体" w:hAnsi="宋体"/>
              </w:rPr>
            </w:pPr>
            <w:r>
              <w:rPr>
                <w:rFonts w:ascii="宋体" w:hAnsi="宋体" w:hint="eastAsia"/>
              </w:rPr>
              <w:t>性</w:t>
            </w:r>
          </w:p>
          <w:p w:rsidR="0056255B" w:rsidRDefault="0056255B" w:rsidP="0090435F">
            <w:pPr>
              <w:spacing w:line="29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外观与性状：淡黄色结晶，有芳香气味。</w:t>
            </w:r>
          </w:p>
        </w:tc>
      </w:tr>
      <w:tr w:rsidR="0056255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溶解性 ：溶于热水、乙醇、乙醚。</w:t>
            </w:r>
          </w:p>
        </w:tc>
      </w:tr>
      <w:tr w:rsidR="0056255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熔点（℃）：45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沸点（℃）：</w:t>
            </w:r>
            <w:r>
              <w:rPr>
                <w:rFonts w:ascii="宋体" w:hAnsi="宋体" w:hint="eastAsia"/>
                <w:szCs w:val="18"/>
              </w:rPr>
              <w:t>214.5</w:t>
            </w:r>
          </w:p>
        </w:tc>
      </w:tr>
      <w:tr w:rsidR="0056255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相对密度（水＝1）：1.50</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相对密度（空气＝1）：无资料</w:t>
            </w:r>
          </w:p>
        </w:tc>
      </w:tr>
      <w:tr w:rsidR="0056255B"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饱和蒸气压（kPa</w:t>
            </w:r>
            <w:r>
              <w:rPr>
                <w:rFonts w:ascii="宋体" w:hAnsi="宋体"/>
              </w:rPr>
              <w:t>）</w:t>
            </w:r>
            <w:r>
              <w:rPr>
                <w:rFonts w:ascii="宋体" w:hAnsi="宋体" w:hint="eastAsia"/>
              </w:rPr>
              <w:t>:0.13（49.3℃）</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燃烧热（kJ/mol）：2880.4</w:t>
            </w:r>
          </w:p>
        </w:tc>
      </w:tr>
      <w:tr w:rsidR="0056255B"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临界压力（MPa）：</w:t>
            </w:r>
          </w:p>
        </w:tc>
      </w:tr>
      <w:tr w:rsidR="0056255B"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燃</w:t>
            </w:r>
          </w:p>
          <w:p w:rsidR="0056255B" w:rsidRDefault="0056255B" w:rsidP="0090435F">
            <w:pPr>
              <w:spacing w:line="294" w:lineRule="exact"/>
              <w:rPr>
                <w:rFonts w:ascii="宋体" w:hAnsi="宋体"/>
              </w:rPr>
            </w:pPr>
            <w:r>
              <w:rPr>
                <w:rFonts w:ascii="宋体" w:hAnsi="宋体" w:hint="eastAsia"/>
              </w:rPr>
              <w:t>烧</w:t>
            </w:r>
          </w:p>
          <w:p w:rsidR="0056255B" w:rsidRDefault="0056255B" w:rsidP="0090435F">
            <w:pPr>
              <w:spacing w:line="294" w:lineRule="exact"/>
              <w:rPr>
                <w:rFonts w:ascii="宋体" w:hAnsi="宋体"/>
              </w:rPr>
            </w:pPr>
            <w:r>
              <w:rPr>
                <w:rFonts w:ascii="宋体" w:hAnsi="宋体" w:hint="eastAsia"/>
              </w:rPr>
              <w:t>爆</w:t>
            </w:r>
          </w:p>
          <w:p w:rsidR="0056255B" w:rsidRDefault="0056255B" w:rsidP="0090435F">
            <w:pPr>
              <w:spacing w:line="294" w:lineRule="exact"/>
              <w:rPr>
                <w:rFonts w:ascii="宋体" w:hAnsi="宋体"/>
              </w:rPr>
            </w:pPr>
            <w:r>
              <w:rPr>
                <w:rFonts w:ascii="宋体" w:hAnsi="宋体" w:hint="eastAsia"/>
              </w:rPr>
              <w:t>炸</w:t>
            </w:r>
          </w:p>
          <w:p w:rsidR="0056255B" w:rsidRDefault="0056255B" w:rsidP="0090435F">
            <w:pPr>
              <w:spacing w:line="294" w:lineRule="exact"/>
              <w:rPr>
                <w:rFonts w:ascii="宋体" w:hAnsi="宋体"/>
              </w:rPr>
            </w:pPr>
            <w:r>
              <w:rPr>
                <w:rFonts w:ascii="宋体" w:hAnsi="宋体" w:hint="eastAsia"/>
              </w:rPr>
              <w:t>危</w:t>
            </w:r>
          </w:p>
          <w:p w:rsidR="0056255B" w:rsidRDefault="0056255B" w:rsidP="0090435F">
            <w:pPr>
              <w:spacing w:line="294" w:lineRule="exact"/>
              <w:rPr>
                <w:rFonts w:ascii="宋体" w:hAnsi="宋体"/>
              </w:rPr>
            </w:pPr>
            <w:r>
              <w:rPr>
                <w:rFonts w:ascii="宋体" w:hAnsi="宋体" w:hint="eastAsia"/>
              </w:rPr>
              <w:t>险</w:t>
            </w:r>
          </w:p>
          <w:p w:rsidR="0056255B" w:rsidRDefault="0056255B" w:rsidP="0090435F">
            <w:pPr>
              <w:spacing w:line="294"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闪点（℃）：无资料</w:t>
            </w:r>
          </w:p>
        </w:tc>
      </w:tr>
      <w:tr w:rsidR="0056255B" w:rsidTr="0090435F">
        <w:trPr>
          <w:cantSplit/>
          <w:jc w:val="center"/>
        </w:trPr>
        <w:tc>
          <w:tcPr>
            <w:tcW w:w="493" w:type="dxa"/>
            <w:vMerge/>
            <w:tcBorders>
              <w:top w:val="single" w:sz="4" w:space="0" w:color="auto"/>
              <w:left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爆炸上限（%）：无资料</w:t>
            </w:r>
          </w:p>
        </w:tc>
      </w:tr>
      <w:tr w:rsidR="0056255B" w:rsidTr="0090435F">
        <w:trPr>
          <w:cantSplit/>
          <w:jc w:val="center"/>
        </w:trPr>
        <w:tc>
          <w:tcPr>
            <w:tcW w:w="493" w:type="dxa"/>
            <w:vMerge/>
            <w:tcBorders>
              <w:top w:val="single" w:sz="4" w:space="0" w:color="auto"/>
              <w:left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引燃温度（℃）：无资料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最小点火能（mJ）：无资料</w:t>
            </w:r>
          </w:p>
        </w:tc>
      </w:tr>
      <w:tr w:rsidR="0056255B" w:rsidTr="0090435F">
        <w:trPr>
          <w:cantSplit/>
          <w:jc w:val="center"/>
        </w:trPr>
        <w:tc>
          <w:tcPr>
            <w:tcW w:w="493" w:type="dxa"/>
            <w:vMerge/>
            <w:tcBorders>
              <w:left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稳定性：稳定</w:t>
            </w:r>
          </w:p>
        </w:tc>
      </w:tr>
      <w:tr w:rsidR="0056255B" w:rsidTr="0090435F">
        <w:trPr>
          <w:cantSplit/>
          <w:jc w:val="center"/>
        </w:trPr>
        <w:tc>
          <w:tcPr>
            <w:tcW w:w="493" w:type="dxa"/>
            <w:vMerge/>
            <w:tcBorders>
              <w:left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燃烧分解产物: 一氧化碳、二氧化碳、氧化氮。</w:t>
            </w:r>
          </w:p>
        </w:tc>
      </w:tr>
      <w:tr w:rsidR="0056255B" w:rsidTr="0090435F">
        <w:trPr>
          <w:cantSplit/>
          <w:jc w:val="center"/>
        </w:trPr>
        <w:tc>
          <w:tcPr>
            <w:tcW w:w="493" w:type="dxa"/>
            <w:vMerge/>
            <w:tcBorders>
              <w:left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禁忌物：强氧化剂、强还原剂、强碱。</w:t>
            </w:r>
          </w:p>
        </w:tc>
      </w:tr>
      <w:tr w:rsidR="0056255B" w:rsidTr="0090435F">
        <w:trPr>
          <w:cantSplit/>
          <w:jc w:val="center"/>
        </w:trPr>
        <w:tc>
          <w:tcPr>
            <w:tcW w:w="493" w:type="dxa"/>
            <w:vMerge/>
            <w:tcBorders>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危险特性: 遇明火、高热或与氧化剂接触，有引起燃烧爆炸的危险。受热分解放出有毒的氧化氮烟气。</w:t>
            </w:r>
          </w:p>
        </w:tc>
      </w:tr>
      <w:tr w:rsidR="0056255B" w:rsidTr="0090435F">
        <w:trPr>
          <w:cantSplit/>
          <w:jc w:val="center"/>
        </w:trPr>
        <w:tc>
          <w:tcPr>
            <w:tcW w:w="493" w:type="dxa"/>
            <w:vMerge/>
            <w:tcBorders>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灭火方法：采用雾状水、泡沫、二氧化碳、砂土灭火。</w:t>
            </w:r>
          </w:p>
        </w:tc>
      </w:tr>
      <w:tr w:rsidR="0056255B"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毒</w:t>
            </w:r>
          </w:p>
          <w:p w:rsidR="0056255B" w:rsidRDefault="0056255B" w:rsidP="0090435F">
            <w:pPr>
              <w:spacing w:line="29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_x000B__x000C_" w:hAnsi="_x000B__x000C_" w:hint="eastAsia"/>
                <w:sz w:val="18"/>
                <w:szCs w:val="18"/>
              </w:rPr>
              <w:t xml:space="preserve"> </w:t>
            </w:r>
            <w:r>
              <w:rPr>
                <w:rFonts w:ascii="宋体" w:hAnsi="宋体" w:hint="eastAsia"/>
                <w:szCs w:val="18"/>
              </w:rPr>
              <w:t>334 mg/kg(大鼠经口)</w:t>
            </w:r>
          </w:p>
          <w:p w:rsidR="0056255B" w:rsidRDefault="0056255B" w:rsidP="0090435F">
            <w:pPr>
              <w:spacing w:line="29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6255B"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侵入途经：吸入、食入、经皮吸收。</w:t>
            </w:r>
          </w:p>
        </w:tc>
      </w:tr>
      <w:tr w:rsidR="0056255B" w:rsidTr="0090435F">
        <w:trPr>
          <w:cantSplit/>
          <w:jc w:val="center"/>
        </w:trPr>
        <w:tc>
          <w:tcPr>
            <w:tcW w:w="493" w:type="dxa"/>
            <w:vMerge/>
            <w:tcBorders>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本品对皮肤有强烈刺激作用。能经皮肤和呼吸道吸收。动物实验可引起高铁血红蛋白血症，体温升高，肝、肾损害。</w:t>
            </w:r>
          </w:p>
        </w:tc>
      </w:tr>
      <w:tr w:rsidR="0056255B" w:rsidTr="0090435F">
        <w:trPr>
          <w:cantSplit/>
          <w:jc w:val="center"/>
        </w:trPr>
        <w:tc>
          <w:tcPr>
            <w:tcW w:w="493" w:type="dxa"/>
            <w:tcBorders>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急</w:t>
            </w:r>
          </w:p>
          <w:p w:rsidR="0056255B" w:rsidRDefault="0056255B" w:rsidP="0090435F">
            <w:pPr>
              <w:spacing w:line="29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立即给饮植物油15～30mL。催吐。就医。</w:t>
            </w:r>
          </w:p>
        </w:tc>
      </w:tr>
      <w:tr w:rsidR="0056255B"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防</w:t>
            </w:r>
          </w:p>
          <w:p w:rsidR="0056255B" w:rsidRDefault="0056255B" w:rsidP="0090435F">
            <w:pPr>
              <w:spacing w:line="29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工程控制：严加密闭，提供充分的局部排风。提供安全淋浴和洗眼设备。    ※呼吸系统防护：空气中粉尘浓度超标时，佩戴自吸过滤式防尘口罩。紧急事态抢救或撤离时，应该佩戴自给式呼吸器。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：戴橡胶手套。   ※其它：工作现场禁止吸烟、进食和饮水。及时换洗工作服。工作前后不饮酒，用温水洗澡。实行就业前和定期的体检。</w:t>
            </w:r>
          </w:p>
        </w:tc>
      </w:tr>
      <w:tr w:rsidR="0056255B"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泄</w:t>
            </w:r>
          </w:p>
          <w:p w:rsidR="0056255B" w:rsidRDefault="0056255B" w:rsidP="0090435F">
            <w:pPr>
              <w:spacing w:line="294" w:lineRule="exact"/>
              <w:rPr>
                <w:rFonts w:ascii="宋体" w:hAnsi="宋体"/>
              </w:rPr>
            </w:pPr>
            <w:r>
              <w:rPr>
                <w:rFonts w:ascii="宋体" w:hAnsi="宋体" w:hint="eastAsia"/>
              </w:rPr>
              <w:t>漏</w:t>
            </w:r>
          </w:p>
          <w:p w:rsidR="0056255B" w:rsidRDefault="0056255B" w:rsidP="0090435F">
            <w:pPr>
              <w:spacing w:line="294" w:lineRule="exact"/>
              <w:rPr>
                <w:rFonts w:ascii="宋体" w:hAnsi="宋体"/>
              </w:rPr>
            </w:pPr>
            <w:r>
              <w:rPr>
                <w:rFonts w:ascii="宋体" w:hAnsi="宋体" w:hint="eastAsia"/>
              </w:rPr>
              <w:t>处</w:t>
            </w:r>
          </w:p>
          <w:p w:rsidR="0056255B" w:rsidRDefault="0056255B" w:rsidP="0090435F">
            <w:pPr>
              <w:spacing w:line="29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隔离泄漏污染区，限制出入。切断火源。建议应急处理人员戴防尘面具（全面罩），穿防毒服。不要直接接触泄漏物。小量泄漏：用洁净的铲子收集于干燥、洁净、有盖的容器中。大量泄漏：收集回收或运至废物处理场所处置。</w:t>
            </w:r>
          </w:p>
        </w:tc>
      </w:tr>
      <w:tr w:rsidR="0056255B" w:rsidTr="0090435F">
        <w:trPr>
          <w:cantSplit/>
          <w:jc w:val="center"/>
        </w:trPr>
        <w:tc>
          <w:tcPr>
            <w:tcW w:w="493" w:type="dxa"/>
            <w:tcBorders>
              <w:top w:val="single" w:sz="4" w:space="0" w:color="auto"/>
              <w:left w:val="single" w:sz="4" w:space="0" w:color="auto"/>
              <w:right w:val="single" w:sz="4" w:space="0" w:color="auto"/>
            </w:tcBorders>
            <w:vAlign w:val="center"/>
          </w:tcPr>
          <w:p w:rsidR="0056255B" w:rsidRDefault="0056255B" w:rsidP="0090435F">
            <w:pPr>
              <w:spacing w:line="294" w:lineRule="exact"/>
              <w:rPr>
                <w:rFonts w:ascii="宋体" w:hAnsi="宋体"/>
              </w:rPr>
            </w:pPr>
            <w:r>
              <w:rPr>
                <w:rFonts w:ascii="宋体" w:hAnsi="宋体" w:hint="eastAsia"/>
              </w:rPr>
              <w:t>储</w:t>
            </w:r>
          </w:p>
          <w:p w:rsidR="0056255B" w:rsidRDefault="0056255B" w:rsidP="0090435F">
            <w:pPr>
              <w:spacing w:line="29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56255B" w:rsidRDefault="0056255B" w:rsidP="0090435F">
            <w:pPr>
              <w:spacing w:line="294" w:lineRule="exact"/>
              <w:rPr>
                <w:rFonts w:ascii="宋体" w:hAnsi="宋体"/>
                <w:szCs w:val="18"/>
              </w:rPr>
            </w:pPr>
            <w:r>
              <w:rPr>
                <w:rFonts w:ascii="宋体" w:hAnsi="宋体" w:hint="eastAsia"/>
                <w:szCs w:val="18"/>
              </w:rPr>
              <w:t>储存于阴凉、通风的库房。远离火种、热源。包装密封。应与氧化剂、还原剂、碱类、食用化学品分开存放，切忌混储。采用防爆型照明、通风设施。禁止使用易产生火花的机械设备和工具。储区应备有合适的材料收容泄漏物。</w:t>
            </w:r>
          </w:p>
          <w:p w:rsidR="0056255B" w:rsidRDefault="0056255B" w:rsidP="0090435F">
            <w:pPr>
              <w:spacing w:line="294" w:lineRule="exact"/>
              <w:rPr>
                <w:rFonts w:ascii="宋体" w:hAnsi="宋体"/>
                <w:szCs w:val="18"/>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5B"/>
    <w:rsid w:val="0056255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720E3-A866-478E-A0FA-1219F90F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255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6255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Company>zyhq</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